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3D0D8C">
      <w:pPr>
        <w:rPr>
          <w:rFonts w:asciiTheme="majorHAnsi" w:hAnsiTheme="majorHAnsi" w:cstheme="majorHAnsi"/>
          <w:b/>
          <w:sz w:val="24"/>
          <w:szCs w:val="24"/>
        </w:rPr>
      </w:pPr>
      <w:r>
        <w:rPr>
          <w:rFonts w:asciiTheme="majorHAnsi" w:hAnsiTheme="majorHAnsi" w:cstheme="majorHAnsi"/>
          <w:b/>
          <w:sz w:val="24"/>
          <w:szCs w:val="24"/>
        </w:rPr>
        <w:t>Technology and Digital Tools to Support Student Inquiry</w:t>
      </w:r>
    </w:p>
    <w:p w:rsidR="005D291D" w:rsidRDefault="005D291D">
      <w:pPr>
        <w:rPr>
          <w:rFonts w:asciiTheme="majorHAnsi" w:hAnsiTheme="majorHAnsi" w:cstheme="majorHAnsi"/>
          <w:sz w:val="24"/>
          <w:szCs w:val="24"/>
        </w:rPr>
      </w:pPr>
      <w:r>
        <w:rPr>
          <w:rFonts w:asciiTheme="majorHAnsi" w:hAnsiTheme="majorHAnsi" w:cstheme="majorHAnsi"/>
          <w:sz w:val="24"/>
          <w:szCs w:val="24"/>
        </w:rPr>
        <w:t>Let’s b</w:t>
      </w:r>
      <w:r w:rsidRPr="005D291D">
        <w:rPr>
          <w:rFonts w:asciiTheme="majorHAnsi" w:hAnsiTheme="majorHAnsi" w:cstheme="majorHAnsi"/>
          <w:sz w:val="24"/>
          <w:szCs w:val="24"/>
        </w:rPr>
        <w:t xml:space="preserve">egin by watching the Rubik’s Cube video </w:t>
      </w:r>
      <w:r>
        <w:rPr>
          <w:rFonts w:asciiTheme="majorHAnsi" w:hAnsiTheme="majorHAnsi" w:cstheme="majorHAnsi"/>
          <w:sz w:val="24"/>
          <w:szCs w:val="24"/>
        </w:rPr>
        <w:t xml:space="preserve">below </w:t>
      </w:r>
      <w:r w:rsidRPr="005D291D">
        <w:rPr>
          <w:rFonts w:asciiTheme="majorHAnsi" w:hAnsiTheme="majorHAnsi" w:cstheme="majorHAnsi"/>
          <w:sz w:val="24"/>
          <w:szCs w:val="24"/>
        </w:rPr>
        <w:t>and ponder what it means in relation to our readings from the week. Why does inquiry matter?</w:t>
      </w:r>
    </w:p>
    <w:p w:rsidR="005D291D" w:rsidRDefault="005D291D">
      <w:pPr>
        <w:rPr>
          <w:rFonts w:asciiTheme="majorHAnsi" w:hAnsiTheme="majorHAnsi" w:cstheme="majorHAnsi"/>
          <w:sz w:val="24"/>
          <w:szCs w:val="24"/>
        </w:rPr>
      </w:pPr>
      <w:r>
        <w:rPr>
          <w:rFonts w:asciiTheme="majorHAnsi" w:hAnsiTheme="majorHAnsi" w:cstheme="majorHAnsi"/>
          <w:noProof/>
          <w:sz w:val="24"/>
          <w:szCs w:val="24"/>
        </w:rPr>
        <w:drawing>
          <wp:inline distT="0" distB="0" distL="0" distR="0">
            <wp:extent cx="4572000" cy="3429000"/>
            <wp:effectExtent l="0" t="0" r="0" b="0"/>
            <wp:docPr id="1" name="Video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 uri="{C809E66F-F1BF-436E-b5F7-EEA9579F0CBA}">
                          <wp15:webVideoPr xmlns:wp15="http://schemas.microsoft.com/office/word/2012/wordprocessingDrawing" embeddedHtml="&lt;iframe id=&quot;ytplayer&quot; src=&quot;https://www.youtube.com/embed/W1K2jdjLhbo&quot; frameborder=&quot;0&quot; type=&quot;text/html&quot; width=&quot;816&quot; height=&quot;480&quot; /&gt;" h="480" w="816"/>
                        </a:ext>
                      </a:extLst>
                    </a:blip>
                    <a:stretch>
                      <a:fillRect/>
                    </a:stretch>
                  </pic:blipFill>
                  <pic:spPr>
                    <a:xfrm>
                      <a:off x="0" y="0"/>
                      <a:ext cx="4572000" cy="3429000"/>
                    </a:xfrm>
                    <a:prstGeom prst="rect">
                      <a:avLst/>
                    </a:prstGeom>
                  </pic:spPr>
                </pic:pic>
              </a:graphicData>
            </a:graphic>
          </wp:inline>
        </w:drawing>
      </w:r>
    </w:p>
    <w:p w:rsidR="005D291D" w:rsidRPr="005D291D" w:rsidRDefault="005D291D" w:rsidP="005D291D">
      <w:pPr>
        <w:tabs>
          <w:tab w:val="left" w:pos="1320"/>
        </w:tabs>
        <w:rPr>
          <w:rFonts w:asciiTheme="majorHAnsi" w:hAnsiTheme="majorHAnsi" w:cstheme="majorHAnsi"/>
          <w:sz w:val="24"/>
          <w:szCs w:val="24"/>
        </w:rPr>
      </w:pPr>
      <w:r>
        <w:rPr>
          <w:rFonts w:asciiTheme="majorHAnsi" w:hAnsiTheme="majorHAnsi" w:cstheme="majorHAnsi"/>
          <w:sz w:val="24"/>
          <w:szCs w:val="24"/>
        </w:rPr>
        <w:t>E</w:t>
      </w:r>
      <w:r w:rsidRPr="005D291D">
        <w:rPr>
          <w:rFonts w:asciiTheme="majorHAnsi" w:hAnsiTheme="majorHAnsi" w:cstheme="majorHAnsi"/>
          <w:sz w:val="24"/>
          <w:szCs w:val="24"/>
        </w:rPr>
        <w:t>ffective classrooms are built on research-based p</w:t>
      </w:r>
      <w:r>
        <w:rPr>
          <w:rFonts w:asciiTheme="majorHAnsi" w:hAnsiTheme="majorHAnsi" w:cstheme="majorHAnsi"/>
          <w:sz w:val="24"/>
          <w:szCs w:val="24"/>
        </w:rPr>
        <w:t xml:space="preserve">ractices that include </w:t>
      </w:r>
      <w:proofErr w:type="spellStart"/>
      <w:r>
        <w:rPr>
          <w:rFonts w:asciiTheme="majorHAnsi" w:hAnsiTheme="majorHAnsi" w:cstheme="majorHAnsi"/>
          <w:sz w:val="24"/>
          <w:szCs w:val="24"/>
        </w:rPr>
        <w:t>throrough</w:t>
      </w:r>
      <w:proofErr w:type="spellEnd"/>
      <w:r w:rsidRPr="005D291D">
        <w:rPr>
          <w:rFonts w:asciiTheme="majorHAnsi" w:hAnsiTheme="majorHAnsi" w:cstheme="majorHAnsi"/>
          <w:sz w:val="24"/>
          <w:szCs w:val="24"/>
        </w:rPr>
        <w:t xml:space="preserve"> attention to real reading, writing and viewing and appeal to </w:t>
      </w:r>
      <w:proofErr w:type="gramStart"/>
      <w:r w:rsidRPr="005D291D">
        <w:rPr>
          <w:rFonts w:asciiTheme="majorHAnsi" w:hAnsiTheme="majorHAnsi" w:cstheme="majorHAnsi"/>
          <w:sz w:val="24"/>
          <w:szCs w:val="24"/>
        </w:rPr>
        <w:t>students</w:t>
      </w:r>
      <w:proofErr w:type="gramEnd"/>
      <w:r w:rsidRPr="005D291D">
        <w:rPr>
          <w:rFonts w:asciiTheme="majorHAnsi" w:hAnsiTheme="majorHAnsi" w:cstheme="majorHAnsi"/>
          <w:sz w:val="24"/>
          <w:szCs w:val="24"/>
        </w:rPr>
        <w:t xml:space="preserve"> sense of inquiry, interest and investment. In essence, reading is viewed as a</w:t>
      </w:r>
      <w:r>
        <w:rPr>
          <w:rFonts w:asciiTheme="majorHAnsi" w:hAnsiTheme="majorHAnsi" w:cstheme="majorHAnsi"/>
          <w:sz w:val="24"/>
          <w:szCs w:val="24"/>
        </w:rPr>
        <w:t xml:space="preserve"> mission and not an assignment.</w:t>
      </w:r>
    </w:p>
    <w:p w:rsidR="005D291D" w:rsidRPr="005D291D" w:rsidRDefault="005D291D" w:rsidP="005D291D">
      <w:pPr>
        <w:tabs>
          <w:tab w:val="left" w:pos="1320"/>
        </w:tabs>
        <w:rPr>
          <w:rFonts w:asciiTheme="majorHAnsi" w:hAnsiTheme="majorHAnsi" w:cstheme="majorHAnsi"/>
          <w:sz w:val="24"/>
          <w:szCs w:val="24"/>
        </w:rPr>
      </w:pPr>
      <w:r w:rsidRPr="005D291D">
        <w:rPr>
          <w:rFonts w:asciiTheme="majorHAnsi" w:hAnsiTheme="majorHAnsi" w:cstheme="majorHAnsi"/>
          <w:sz w:val="24"/>
          <w:szCs w:val="24"/>
        </w:rPr>
        <w:t xml:space="preserve">The </w:t>
      </w:r>
      <w:proofErr w:type="spellStart"/>
      <w:r w:rsidRPr="005D291D">
        <w:rPr>
          <w:rFonts w:asciiTheme="majorHAnsi" w:hAnsiTheme="majorHAnsi" w:cstheme="majorHAnsi"/>
          <w:sz w:val="24"/>
          <w:szCs w:val="24"/>
        </w:rPr>
        <w:t>Coiro</w:t>
      </w:r>
      <w:proofErr w:type="spellEnd"/>
      <w:r w:rsidRPr="005D291D">
        <w:rPr>
          <w:rFonts w:asciiTheme="majorHAnsi" w:hAnsiTheme="majorHAnsi" w:cstheme="majorHAnsi"/>
          <w:sz w:val="24"/>
          <w:szCs w:val="24"/>
        </w:rPr>
        <w:t xml:space="preserve"> (2015) article focused on inquiry in the classroom and gave us some excellent ideas to consider. I would like to add a resource to those discussed in the article: </w:t>
      </w:r>
      <w:hyperlink r:id="rId6" w:history="1">
        <w:proofErr w:type="spellStart"/>
        <w:r w:rsidRPr="005D291D">
          <w:rPr>
            <w:rStyle w:val="Hyperlink"/>
            <w:rFonts w:asciiTheme="majorHAnsi" w:hAnsiTheme="majorHAnsi" w:cstheme="majorHAnsi"/>
            <w:sz w:val="24"/>
            <w:szCs w:val="24"/>
          </w:rPr>
          <w:t>Wonderopolis</w:t>
        </w:r>
        <w:proofErr w:type="spellEnd"/>
      </w:hyperlink>
      <w:r w:rsidRPr="005D291D">
        <w:rPr>
          <w:rFonts w:asciiTheme="majorHAnsi" w:hAnsiTheme="majorHAnsi" w:cstheme="majorHAnsi"/>
          <w:sz w:val="24"/>
          <w:szCs w:val="24"/>
        </w:rPr>
        <w:t>. Please view</w:t>
      </w:r>
      <w:r>
        <w:rPr>
          <w:rFonts w:asciiTheme="majorHAnsi" w:hAnsiTheme="majorHAnsi" w:cstheme="majorHAnsi"/>
          <w:sz w:val="24"/>
          <w:szCs w:val="24"/>
        </w:rPr>
        <w:t xml:space="preserve"> their </w:t>
      </w:r>
      <w:hyperlink r:id="rId7" w:history="1">
        <w:r w:rsidRPr="005D291D">
          <w:rPr>
            <w:rStyle w:val="Hyperlink"/>
            <w:rFonts w:asciiTheme="majorHAnsi" w:hAnsiTheme="majorHAnsi" w:cstheme="majorHAnsi"/>
            <w:sz w:val="24"/>
            <w:szCs w:val="24"/>
          </w:rPr>
          <w:t>introductory video</w:t>
        </w:r>
      </w:hyperlink>
      <w:r>
        <w:rPr>
          <w:rFonts w:asciiTheme="majorHAnsi" w:hAnsiTheme="majorHAnsi" w:cstheme="majorHAnsi"/>
          <w:sz w:val="24"/>
          <w:szCs w:val="24"/>
        </w:rPr>
        <w:t xml:space="preserve"> as well. </w:t>
      </w:r>
    </w:p>
    <w:p w:rsidR="005D291D" w:rsidRPr="005D291D" w:rsidRDefault="005D291D" w:rsidP="005D291D">
      <w:pPr>
        <w:tabs>
          <w:tab w:val="left" w:pos="1320"/>
        </w:tabs>
        <w:rPr>
          <w:rFonts w:asciiTheme="majorHAnsi" w:hAnsiTheme="majorHAnsi" w:cstheme="majorHAnsi"/>
          <w:sz w:val="24"/>
          <w:szCs w:val="24"/>
        </w:rPr>
      </w:pPr>
      <w:r w:rsidRPr="005D291D">
        <w:rPr>
          <w:rFonts w:asciiTheme="majorHAnsi" w:hAnsiTheme="majorHAnsi" w:cstheme="majorHAnsi"/>
          <w:sz w:val="24"/>
          <w:szCs w:val="24"/>
        </w:rPr>
        <w:t>This site exemplifies that it means to be a reader, writer and thinker when you are a child: to truly wonder and find out new information. Please take some time to explore the site, and have fun doing so! Read the Wonder of the Day and search for wonders on topics that interest you. How might you envision using this in the classroom? Could you have students read the ‘Wonder of the Day’ for their morning work instead of the typical worksheets? Might you have ‘Wonder Wednesday’ and read the ‘Wonder of the Day’ as an interactive read aloud? In the older grades, could this be considered another source for independent reading? A text to kick off a new unit of study or inquiry? How else mig</w:t>
      </w:r>
      <w:r>
        <w:rPr>
          <w:rFonts w:asciiTheme="majorHAnsi" w:hAnsiTheme="majorHAnsi" w:cstheme="majorHAnsi"/>
          <w:sz w:val="24"/>
          <w:szCs w:val="24"/>
        </w:rPr>
        <w:t>ht you imagine using this site?</w:t>
      </w:r>
    </w:p>
    <w:p w:rsidR="005D291D" w:rsidRDefault="006666E3" w:rsidP="005D291D">
      <w:pPr>
        <w:tabs>
          <w:tab w:val="left" w:pos="1320"/>
        </w:tabs>
        <w:rPr>
          <w:rFonts w:asciiTheme="majorHAnsi" w:hAnsiTheme="majorHAnsi" w:cstheme="majorHAnsi"/>
          <w:sz w:val="24"/>
          <w:szCs w:val="24"/>
        </w:rPr>
      </w:pPr>
      <w:r>
        <w:rPr>
          <w:rFonts w:asciiTheme="majorHAnsi" w:hAnsiTheme="majorHAnsi" w:cstheme="majorHAnsi"/>
          <w:sz w:val="24"/>
          <w:szCs w:val="24"/>
        </w:rPr>
        <w:t xml:space="preserve">I want to share one last set of resources here. </w:t>
      </w:r>
      <w:proofErr w:type="spellStart"/>
      <w:r w:rsidR="005D291D">
        <w:rPr>
          <w:rFonts w:asciiTheme="majorHAnsi" w:hAnsiTheme="majorHAnsi" w:cstheme="majorHAnsi"/>
          <w:sz w:val="24"/>
          <w:szCs w:val="24"/>
        </w:rPr>
        <w:t>Edutopia</w:t>
      </w:r>
      <w:proofErr w:type="spellEnd"/>
      <w:r w:rsidR="005D291D">
        <w:rPr>
          <w:rFonts w:asciiTheme="majorHAnsi" w:hAnsiTheme="majorHAnsi" w:cstheme="majorHAnsi"/>
          <w:sz w:val="24"/>
          <w:szCs w:val="24"/>
        </w:rPr>
        <w:t xml:space="preserve"> has an </w:t>
      </w:r>
      <w:hyperlink r:id="rId8" w:history="1">
        <w:r w:rsidR="005D291D" w:rsidRPr="005D291D">
          <w:rPr>
            <w:rStyle w:val="Hyperlink"/>
            <w:rFonts w:asciiTheme="majorHAnsi" w:hAnsiTheme="majorHAnsi" w:cstheme="majorHAnsi"/>
            <w:sz w:val="24"/>
            <w:szCs w:val="24"/>
          </w:rPr>
          <w:t>extensive collection of resources to support teachers as they work to bring more authentic inquiry into their classrooms</w:t>
        </w:r>
      </w:hyperlink>
      <w:r w:rsidR="005D291D">
        <w:rPr>
          <w:rFonts w:asciiTheme="majorHAnsi" w:hAnsiTheme="majorHAnsi" w:cstheme="majorHAnsi"/>
          <w:sz w:val="24"/>
          <w:szCs w:val="24"/>
        </w:rPr>
        <w:t xml:space="preserve">. </w:t>
      </w:r>
      <w:r>
        <w:rPr>
          <w:rFonts w:asciiTheme="majorHAnsi" w:hAnsiTheme="majorHAnsi" w:cstheme="majorHAnsi"/>
          <w:sz w:val="24"/>
          <w:szCs w:val="24"/>
        </w:rPr>
        <w:t xml:space="preserve">Browse </w:t>
      </w:r>
      <w:r>
        <w:rPr>
          <w:rFonts w:asciiTheme="majorHAnsi" w:hAnsiTheme="majorHAnsi" w:cstheme="majorHAnsi"/>
          <w:sz w:val="24"/>
          <w:szCs w:val="24"/>
        </w:rPr>
        <w:lastRenderedPageBreak/>
        <w:t>the articles based on your interests and grade level.</w:t>
      </w:r>
      <w:bookmarkStart w:id="0" w:name="_GoBack"/>
      <w:bookmarkEnd w:id="0"/>
      <w:r w:rsidR="005D291D">
        <w:rPr>
          <w:rFonts w:asciiTheme="majorHAnsi" w:hAnsiTheme="majorHAnsi" w:cstheme="majorHAnsi"/>
          <w:sz w:val="24"/>
          <w:szCs w:val="24"/>
        </w:rPr>
        <w:t xml:space="preserve"> How could technology enhance the inquiry learning strategies offered?</w:t>
      </w:r>
    </w:p>
    <w:p w:rsidR="005D291D" w:rsidRPr="005D291D" w:rsidRDefault="005D291D" w:rsidP="005D291D">
      <w:pPr>
        <w:tabs>
          <w:tab w:val="left" w:pos="1320"/>
        </w:tabs>
        <w:rPr>
          <w:rFonts w:asciiTheme="majorHAnsi" w:hAnsiTheme="majorHAnsi" w:cstheme="majorHAnsi"/>
          <w:sz w:val="24"/>
          <w:szCs w:val="24"/>
        </w:rPr>
      </w:pPr>
    </w:p>
    <w:sectPr w:rsidR="005D291D" w:rsidRPr="005D29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1D0"/>
    <w:rsid w:val="000411D0"/>
    <w:rsid w:val="00117D15"/>
    <w:rsid w:val="001E5680"/>
    <w:rsid w:val="001F0449"/>
    <w:rsid w:val="003D0D8C"/>
    <w:rsid w:val="004B059A"/>
    <w:rsid w:val="005D291D"/>
    <w:rsid w:val="006666E3"/>
    <w:rsid w:val="00766275"/>
    <w:rsid w:val="00772D8B"/>
    <w:rsid w:val="008422E5"/>
    <w:rsid w:val="009654B6"/>
    <w:rsid w:val="009D3C8C"/>
    <w:rsid w:val="00BA4452"/>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6B6DE"/>
  <w15:chartTrackingRefBased/>
  <w15:docId w15:val="{27614A04-7CB9-4CF3-AE24-4587C78E2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291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utopia.org/article/inquiry-based-learning-resources-downloads" TargetMode="External"/><Relationship Id="rId3" Type="http://schemas.openxmlformats.org/officeDocument/2006/relationships/webSettings" Target="webSettings.xml"/><Relationship Id="rId7" Type="http://schemas.openxmlformats.org/officeDocument/2006/relationships/hyperlink" Target="https://vimeo.com/12764555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onderopolis.org/" TargetMode="External"/><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hyperlink" Target="https://www.youtube.com/watch?v=W1K2jdjLhbo"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4</cp:revision>
  <dcterms:created xsi:type="dcterms:W3CDTF">2019-05-22T17:59:00Z</dcterms:created>
  <dcterms:modified xsi:type="dcterms:W3CDTF">2019-05-22T23:32:00Z</dcterms:modified>
</cp:coreProperties>
</file>